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71556" w14:textId="3501C8B5" w:rsidR="0067669A" w:rsidRPr="000C2F0D" w:rsidRDefault="0037191A" w:rsidP="0037191A">
      <w:pPr>
        <w:jc w:val="center"/>
        <w:rPr>
          <w:b/>
          <w:bCs/>
        </w:rPr>
      </w:pPr>
      <w:r w:rsidRPr="000C2F0D">
        <w:rPr>
          <w:rFonts w:hint="eastAsia"/>
          <w:b/>
          <w:bCs/>
        </w:rPr>
        <w:t>当委員会が考える好循環モデルの構築による事業目的の達成について</w:t>
      </w:r>
    </w:p>
    <w:p w14:paraId="0F622DBF" w14:textId="77777777" w:rsidR="0037191A" w:rsidRDefault="0037191A" w:rsidP="0037191A">
      <w:pPr>
        <w:jc w:val="center"/>
      </w:pPr>
    </w:p>
    <w:p w14:paraId="3EEFE058" w14:textId="608AA049" w:rsidR="0037191A" w:rsidRPr="00D77E7B" w:rsidRDefault="00D77E7B" w:rsidP="0037191A">
      <w:pPr>
        <w:pStyle w:val="a9"/>
        <w:numPr>
          <w:ilvl w:val="0"/>
          <w:numId w:val="1"/>
        </w:numPr>
        <w:jc w:val="left"/>
        <w:rPr>
          <w:b/>
          <w:bCs/>
        </w:rPr>
      </w:pPr>
      <w:r>
        <w:rPr>
          <w:rFonts w:hint="eastAsia"/>
          <w:b/>
          <w:bCs/>
        </w:rPr>
        <w:t>地域</w:t>
      </w:r>
      <w:r w:rsidR="0037191A" w:rsidRPr="00D77E7B">
        <w:rPr>
          <w:rFonts w:hint="eastAsia"/>
          <w:b/>
          <w:bCs/>
        </w:rPr>
        <w:t>の魅力とは</w:t>
      </w:r>
    </w:p>
    <w:p w14:paraId="5097EE65" w14:textId="071FCD65" w:rsidR="0037191A" w:rsidRDefault="00D77E7B" w:rsidP="0037191A">
      <w:pPr>
        <w:pStyle w:val="a9"/>
        <w:ind w:left="360"/>
        <w:jc w:val="left"/>
        <w:rPr>
          <w:rFonts w:hint="eastAsia"/>
        </w:rPr>
      </w:pPr>
      <w:r>
        <w:rPr>
          <w:rFonts w:hint="eastAsia"/>
        </w:rPr>
        <w:t>当委員会が考える地域の魅力とは、地域に存在するモノやコトだけではなく、</w:t>
      </w:r>
      <w:r w:rsidRPr="00D77E7B">
        <w:rPr>
          <w:rFonts w:hint="eastAsia"/>
          <w:b/>
          <w:bCs/>
          <w:u w:val="single"/>
        </w:rPr>
        <w:t>そのモノやコトを強く愛する人の感情が合わさったもの</w:t>
      </w:r>
      <w:r>
        <w:rPr>
          <w:rFonts w:hint="eastAsia"/>
        </w:rPr>
        <w:t>です。</w:t>
      </w:r>
    </w:p>
    <w:p w14:paraId="5B69D6F6" w14:textId="77777777" w:rsidR="00D77E7B" w:rsidRPr="00D77E7B" w:rsidRDefault="00D77E7B" w:rsidP="0037191A">
      <w:pPr>
        <w:pStyle w:val="a9"/>
        <w:ind w:left="360"/>
        <w:jc w:val="left"/>
        <w:rPr>
          <w:rFonts w:hint="eastAsia"/>
        </w:rPr>
      </w:pPr>
    </w:p>
    <w:p w14:paraId="596C373A" w14:textId="6ED981CD" w:rsidR="0037191A" w:rsidRPr="00D77E7B" w:rsidRDefault="00D77E7B" w:rsidP="0037191A">
      <w:pPr>
        <w:pStyle w:val="a9"/>
        <w:numPr>
          <w:ilvl w:val="0"/>
          <w:numId w:val="1"/>
        </w:numPr>
        <w:jc w:val="left"/>
        <w:rPr>
          <w:b/>
          <w:bCs/>
        </w:rPr>
      </w:pPr>
      <w:r>
        <w:rPr>
          <w:rFonts w:hint="eastAsia"/>
          <w:b/>
          <w:bCs/>
        </w:rPr>
        <w:t>地域の</w:t>
      </w:r>
      <w:r w:rsidR="0037191A" w:rsidRPr="00D77E7B">
        <w:rPr>
          <w:rFonts w:hint="eastAsia"/>
          <w:b/>
          <w:bCs/>
        </w:rPr>
        <w:t>魅力</w:t>
      </w:r>
      <w:r>
        <w:rPr>
          <w:rFonts w:hint="eastAsia"/>
          <w:b/>
          <w:bCs/>
        </w:rPr>
        <w:t>に共感してもらうために必要な</w:t>
      </w:r>
      <w:r w:rsidR="0037191A" w:rsidRPr="00D77E7B">
        <w:rPr>
          <w:rFonts w:hint="eastAsia"/>
          <w:b/>
          <w:bCs/>
        </w:rPr>
        <w:t>こと</w:t>
      </w:r>
    </w:p>
    <w:p w14:paraId="778D24C9" w14:textId="60E3B882" w:rsidR="00D77E7B" w:rsidRPr="000C2F0D" w:rsidRDefault="00D77E7B" w:rsidP="00D77E7B">
      <w:pPr>
        <w:pStyle w:val="a9"/>
        <w:ind w:left="360"/>
        <w:jc w:val="left"/>
        <w:rPr>
          <w:rFonts w:hint="eastAsia"/>
          <w:b/>
          <w:bCs/>
        </w:rPr>
      </w:pPr>
      <w:r>
        <w:rPr>
          <w:rFonts w:hint="eastAsia"/>
        </w:rPr>
        <w:t>当委員会が考える地域の魅力に共感してもらうために必要なことは、</w:t>
      </w:r>
      <w:r w:rsidR="000C2F0D" w:rsidRPr="000C2F0D">
        <w:rPr>
          <w:rFonts w:hint="eastAsia"/>
          <w:b/>
          <w:bCs/>
          <w:u w:val="single"/>
        </w:rPr>
        <w:t>地域の</w:t>
      </w:r>
      <w:r w:rsidR="000C2F0D">
        <w:rPr>
          <w:rFonts w:hint="eastAsia"/>
          <w:b/>
          <w:bCs/>
          <w:u w:val="single"/>
        </w:rPr>
        <w:t>モノやコト</w:t>
      </w:r>
      <w:r w:rsidR="000C2F0D" w:rsidRPr="000C2F0D">
        <w:rPr>
          <w:rFonts w:hint="eastAsia"/>
          <w:b/>
          <w:bCs/>
          <w:u w:val="single"/>
        </w:rPr>
        <w:t>を強く深く愛する、我々自身の偏愛です。</w:t>
      </w:r>
      <w:r w:rsidR="000C2F0D">
        <w:rPr>
          <w:rFonts w:hint="eastAsia"/>
        </w:rPr>
        <w:t>偏愛にはそれを愛するに至るストーリーや感情が溢れており、そのストーリーや感情が人々の共感を呼び起こすと考えています。</w:t>
      </w:r>
    </w:p>
    <w:p w14:paraId="4BFE77A1" w14:textId="77777777" w:rsidR="00D77E7B" w:rsidRPr="00D77E7B" w:rsidRDefault="00D77E7B" w:rsidP="00D77E7B">
      <w:pPr>
        <w:pStyle w:val="a9"/>
        <w:ind w:left="360"/>
        <w:jc w:val="left"/>
        <w:rPr>
          <w:rFonts w:hint="eastAsia"/>
        </w:rPr>
      </w:pPr>
    </w:p>
    <w:p w14:paraId="3F0F3451" w14:textId="4A21032E" w:rsidR="000C2F0D" w:rsidRPr="000C2F0D" w:rsidRDefault="000C2F0D" w:rsidP="0037191A">
      <w:pPr>
        <w:pStyle w:val="a9"/>
        <w:numPr>
          <w:ilvl w:val="0"/>
          <w:numId w:val="1"/>
        </w:numPr>
        <w:jc w:val="left"/>
        <w:rPr>
          <w:b/>
          <w:bCs/>
        </w:rPr>
      </w:pPr>
      <w:r>
        <w:rPr>
          <w:rFonts w:hint="eastAsia"/>
          <w:b/>
          <w:bCs/>
        </w:rPr>
        <w:t>本事業</w:t>
      </w:r>
      <w:r w:rsidRPr="000C2F0D">
        <w:rPr>
          <w:rFonts w:hint="eastAsia"/>
          <w:b/>
          <w:bCs/>
        </w:rPr>
        <w:t>の大前提</w:t>
      </w:r>
    </w:p>
    <w:p w14:paraId="27F71BC3" w14:textId="70681CD6" w:rsidR="000C2F0D" w:rsidRDefault="000C2F0D" w:rsidP="000C2F0D">
      <w:pPr>
        <w:pStyle w:val="a9"/>
        <w:ind w:left="360"/>
        <w:jc w:val="left"/>
      </w:pPr>
      <w:r>
        <w:rPr>
          <w:rFonts w:hint="eastAsia"/>
        </w:rPr>
        <w:t>本事業の大前提として、地域の隠れた資源を発掘</w:t>
      </w:r>
      <w:r w:rsidR="00A96257">
        <w:rPr>
          <w:rFonts w:hint="eastAsia"/>
        </w:rPr>
        <w:t>するということは、</w:t>
      </w:r>
      <w:r w:rsidR="00A96257" w:rsidRPr="00A96257">
        <w:rPr>
          <w:rFonts w:hint="eastAsia"/>
          <w:b/>
          <w:bCs/>
          <w:u w:val="single"/>
        </w:rPr>
        <w:t>当委員会メンバーそれぞれが持つ偏愛を発掘し、その偏愛こそが地域の魅力と捉えています</w:t>
      </w:r>
      <w:r w:rsidR="00A96257">
        <w:rPr>
          <w:rFonts w:hint="eastAsia"/>
        </w:rPr>
        <w:t>。発信する当委員会メンバー自身にその偏愛がなければ共感を得ることができないとの考えからです。本事業の商品の選定においても、委員会内に偏愛のあるものから選定をしています。</w:t>
      </w:r>
    </w:p>
    <w:p w14:paraId="0C581C9E" w14:textId="5C295663" w:rsidR="000C2F0D" w:rsidRDefault="00A96257" w:rsidP="000C2F0D">
      <w:pPr>
        <w:pStyle w:val="a9"/>
        <w:ind w:left="360"/>
        <w:jc w:val="left"/>
      </w:pPr>
      <w:r>
        <w:rPr>
          <w:rFonts w:hint="eastAsia"/>
        </w:rPr>
        <w:t>選定されたイチジクにも委員会内で２つの偏愛を発掘しました。</w:t>
      </w:r>
    </w:p>
    <w:p w14:paraId="52E7E7C5" w14:textId="0BCF6E30" w:rsidR="00A96257" w:rsidRDefault="00A96257" w:rsidP="00A96257">
      <w:pPr>
        <w:pStyle w:val="a9"/>
        <w:numPr>
          <w:ilvl w:val="0"/>
          <w:numId w:val="2"/>
        </w:numPr>
        <w:jc w:val="left"/>
      </w:pPr>
      <w:r>
        <w:rPr>
          <w:rFonts w:hint="eastAsia"/>
        </w:rPr>
        <w:t>県外出身者で新潟に移住して13年の中で、新潟に来てよかったと一番思うことは、新潟のイチジクの衝撃的な美味しさを味わえたこと。</w:t>
      </w:r>
    </w:p>
    <w:p w14:paraId="70CBAE27" w14:textId="6479C319" w:rsidR="00A96257" w:rsidRDefault="00A96257" w:rsidP="00A96257">
      <w:pPr>
        <w:pStyle w:val="a9"/>
        <w:numPr>
          <w:ilvl w:val="0"/>
          <w:numId w:val="2"/>
        </w:numPr>
        <w:jc w:val="left"/>
        <w:rPr>
          <w:rFonts w:hint="eastAsia"/>
        </w:rPr>
      </w:pPr>
      <w:r>
        <w:rPr>
          <w:rFonts w:hint="eastAsia"/>
        </w:rPr>
        <w:t>親が趣味で始めたイチジク栽培に本腰を入れ、その美味しさに確信を持ち事業拡大に奮闘する農家。</w:t>
      </w:r>
    </w:p>
    <w:p w14:paraId="6FA4EE63" w14:textId="77777777" w:rsidR="00A96257" w:rsidRDefault="00A96257" w:rsidP="000C2F0D">
      <w:pPr>
        <w:pStyle w:val="a9"/>
        <w:ind w:left="360"/>
        <w:jc w:val="left"/>
        <w:rPr>
          <w:rFonts w:hint="eastAsia"/>
        </w:rPr>
      </w:pPr>
    </w:p>
    <w:p w14:paraId="78E339C0" w14:textId="0FC44DBC" w:rsidR="0037191A" w:rsidRPr="00115416" w:rsidRDefault="00115416" w:rsidP="0037191A">
      <w:pPr>
        <w:pStyle w:val="a9"/>
        <w:numPr>
          <w:ilvl w:val="0"/>
          <w:numId w:val="1"/>
        </w:numPr>
        <w:jc w:val="left"/>
        <w:rPr>
          <w:b/>
          <w:bCs/>
        </w:rPr>
      </w:pPr>
      <w:r w:rsidRPr="00115416">
        <w:rPr>
          <w:rFonts w:hint="eastAsia"/>
          <w:b/>
          <w:bCs/>
        </w:rPr>
        <w:t>本</w:t>
      </w:r>
      <w:r w:rsidR="0037191A" w:rsidRPr="00115416">
        <w:rPr>
          <w:rFonts w:hint="eastAsia"/>
          <w:b/>
          <w:bCs/>
        </w:rPr>
        <w:t>事業の好循環モデル</w:t>
      </w:r>
      <w:r>
        <w:rPr>
          <w:rFonts w:hint="eastAsia"/>
          <w:b/>
          <w:bCs/>
        </w:rPr>
        <w:t>の構築に必要な要素</w:t>
      </w:r>
    </w:p>
    <w:p w14:paraId="1D65AFA5" w14:textId="16586F9C" w:rsidR="00A96257" w:rsidRDefault="00115416" w:rsidP="00A96257">
      <w:pPr>
        <w:pStyle w:val="a9"/>
        <w:ind w:left="360"/>
        <w:jc w:val="left"/>
      </w:pPr>
      <w:r>
        <w:rPr>
          <w:rFonts w:hint="eastAsia"/>
        </w:rPr>
        <w:t>当委員会が考える好循環モデルとは、</w:t>
      </w:r>
    </w:p>
    <w:p w14:paraId="7A73785C" w14:textId="10873B56" w:rsidR="00115416" w:rsidRDefault="00115416" w:rsidP="00115416">
      <w:pPr>
        <w:pStyle w:val="a9"/>
        <w:numPr>
          <w:ilvl w:val="0"/>
          <w:numId w:val="3"/>
        </w:numPr>
        <w:jc w:val="left"/>
      </w:pPr>
      <w:r>
        <w:rPr>
          <w:rFonts w:hint="eastAsia"/>
        </w:rPr>
        <w:t>経済的に利益を生む</w:t>
      </w:r>
    </w:p>
    <w:p w14:paraId="5199F85B" w14:textId="5A3CFFC3" w:rsidR="00115416" w:rsidRDefault="00115416" w:rsidP="00115416">
      <w:pPr>
        <w:pStyle w:val="a9"/>
        <w:numPr>
          <w:ilvl w:val="0"/>
          <w:numId w:val="3"/>
        </w:numPr>
        <w:jc w:val="left"/>
      </w:pPr>
      <w:r>
        <w:rPr>
          <w:rFonts w:hint="eastAsia"/>
        </w:rPr>
        <w:t>環境負荷を起こさない</w:t>
      </w:r>
    </w:p>
    <w:p w14:paraId="5B5F6497" w14:textId="4A84958D" w:rsidR="00115416" w:rsidRDefault="00115416" w:rsidP="00115416">
      <w:pPr>
        <w:pStyle w:val="a9"/>
        <w:numPr>
          <w:ilvl w:val="0"/>
          <w:numId w:val="3"/>
        </w:numPr>
        <w:jc w:val="left"/>
        <w:rPr>
          <w:rFonts w:hint="eastAsia"/>
        </w:rPr>
      </w:pPr>
      <w:r>
        <w:rPr>
          <w:rFonts w:hint="eastAsia"/>
        </w:rPr>
        <w:t>続ければ続けるほど新潟の魅力が伝わる</w:t>
      </w:r>
    </w:p>
    <w:p w14:paraId="0CFDCC86" w14:textId="070464C3" w:rsidR="00115416" w:rsidRDefault="00115416" w:rsidP="00A96257">
      <w:pPr>
        <w:pStyle w:val="a9"/>
        <w:ind w:left="360"/>
        <w:jc w:val="left"/>
      </w:pPr>
      <w:r>
        <w:rPr>
          <w:rFonts w:hint="eastAsia"/>
        </w:rPr>
        <w:t>の３つの要素を同時に達成するモデルです。</w:t>
      </w:r>
    </w:p>
    <w:p w14:paraId="450F292C" w14:textId="77777777" w:rsidR="00115416" w:rsidRDefault="00115416" w:rsidP="00A96257">
      <w:pPr>
        <w:pStyle w:val="a9"/>
        <w:ind w:left="360"/>
        <w:jc w:val="left"/>
      </w:pPr>
    </w:p>
    <w:p w14:paraId="2F25AB52" w14:textId="5B91A4C5" w:rsidR="00115416" w:rsidRPr="00115416" w:rsidRDefault="00115416" w:rsidP="00115416">
      <w:pPr>
        <w:pStyle w:val="a9"/>
        <w:numPr>
          <w:ilvl w:val="0"/>
          <w:numId w:val="1"/>
        </w:numPr>
        <w:jc w:val="left"/>
        <w:rPr>
          <w:b/>
          <w:bCs/>
        </w:rPr>
      </w:pPr>
      <w:r>
        <w:rPr>
          <w:rFonts w:hint="eastAsia"/>
          <w:b/>
          <w:bCs/>
        </w:rPr>
        <w:t>当委員会が提案する</w:t>
      </w:r>
      <w:r w:rsidRPr="00115416">
        <w:rPr>
          <w:rFonts w:hint="eastAsia"/>
          <w:b/>
          <w:bCs/>
        </w:rPr>
        <w:t>好循環モデル</w:t>
      </w:r>
      <w:r>
        <w:rPr>
          <w:rFonts w:hint="eastAsia"/>
          <w:b/>
          <w:bCs/>
        </w:rPr>
        <w:t>の</w:t>
      </w:r>
      <w:r>
        <w:rPr>
          <w:rFonts w:hint="eastAsia"/>
          <w:b/>
          <w:bCs/>
        </w:rPr>
        <w:t>具体</w:t>
      </w:r>
    </w:p>
    <w:p w14:paraId="57763412" w14:textId="3D1575C2" w:rsidR="00115416" w:rsidRDefault="00115416" w:rsidP="00A96257">
      <w:pPr>
        <w:pStyle w:val="a9"/>
        <w:ind w:left="360"/>
        <w:jc w:val="left"/>
      </w:pPr>
      <w:r>
        <w:rPr>
          <w:rFonts w:hint="eastAsia"/>
        </w:rPr>
        <w:t>当委員会が提案する好循環モデルの具体案は、</w:t>
      </w:r>
      <w:r w:rsidRPr="00115416">
        <w:rPr>
          <w:rFonts w:hint="eastAsia"/>
          <w:b/>
          <w:bCs/>
          <w:u w:val="single"/>
        </w:rPr>
        <w:t>偏愛に溢れた新潟の食材</w:t>
      </w:r>
      <w:r w:rsidR="002625B4">
        <w:rPr>
          <w:rFonts w:hint="eastAsia"/>
          <w:b/>
          <w:bCs/>
          <w:u w:val="single"/>
        </w:rPr>
        <w:t>とバイオマスプラスチックを活用した</w:t>
      </w:r>
      <w:r w:rsidRPr="00115416">
        <w:rPr>
          <w:rFonts w:hint="eastAsia"/>
          <w:b/>
          <w:bCs/>
          <w:u w:val="single"/>
        </w:rPr>
        <w:t>キッチンカー・屋台</w:t>
      </w:r>
      <w:r>
        <w:rPr>
          <w:rFonts w:hint="eastAsia"/>
        </w:rPr>
        <w:t>、となります。</w:t>
      </w:r>
    </w:p>
    <w:p w14:paraId="1F167253" w14:textId="6E46D953" w:rsidR="002625B4" w:rsidRDefault="002625B4" w:rsidP="002625B4">
      <w:pPr>
        <w:pStyle w:val="a9"/>
        <w:ind w:left="360"/>
        <w:jc w:val="left"/>
        <w:rPr>
          <w:rFonts w:hint="eastAsia"/>
        </w:rPr>
      </w:pPr>
      <w:r>
        <w:rPr>
          <w:rFonts w:hint="eastAsia"/>
        </w:rPr>
        <w:t>本案は前項の要素を以下の通り満たすものと考えます。</w:t>
      </w:r>
    </w:p>
    <w:p w14:paraId="6671D442" w14:textId="40F9A0A8" w:rsidR="002625B4" w:rsidRDefault="002625B4" w:rsidP="002625B4">
      <w:pPr>
        <w:pStyle w:val="a9"/>
        <w:numPr>
          <w:ilvl w:val="0"/>
          <w:numId w:val="4"/>
        </w:numPr>
        <w:jc w:val="left"/>
      </w:pPr>
      <w:r>
        <w:rPr>
          <w:rFonts w:hint="eastAsia"/>
        </w:rPr>
        <w:t>経済的に利益を生む</w:t>
      </w:r>
    </w:p>
    <w:p w14:paraId="4CEA0367" w14:textId="7802FDF0" w:rsidR="002625B4" w:rsidRDefault="002625B4" w:rsidP="002625B4">
      <w:pPr>
        <w:pStyle w:val="a9"/>
        <w:ind w:left="800"/>
        <w:jc w:val="left"/>
        <w:rPr>
          <w:rFonts w:hint="eastAsia"/>
        </w:rPr>
      </w:pPr>
      <w:r>
        <w:rPr>
          <w:rFonts w:hint="eastAsia"/>
        </w:rPr>
        <w:t>イベントでの販売モデルの為、事業収益を確保することができるので、利益を生むことが可能です。また、偏愛に溢れた食材を扱っているため、現場での販売力を高く事業活動することができます。</w:t>
      </w:r>
    </w:p>
    <w:p w14:paraId="0F1EBA33" w14:textId="77777777" w:rsidR="002625B4" w:rsidRDefault="002625B4" w:rsidP="002625B4">
      <w:pPr>
        <w:pStyle w:val="a9"/>
        <w:numPr>
          <w:ilvl w:val="0"/>
          <w:numId w:val="4"/>
        </w:numPr>
        <w:jc w:val="left"/>
      </w:pPr>
      <w:r>
        <w:rPr>
          <w:rFonts w:hint="eastAsia"/>
        </w:rPr>
        <w:t>環境負荷を起こさない</w:t>
      </w:r>
    </w:p>
    <w:p w14:paraId="77FB799C" w14:textId="374C8F35" w:rsidR="002625B4" w:rsidRDefault="002625B4" w:rsidP="002625B4">
      <w:pPr>
        <w:pStyle w:val="a9"/>
        <w:ind w:left="800"/>
        <w:jc w:val="left"/>
        <w:rPr>
          <w:rFonts w:hint="eastAsia"/>
        </w:rPr>
      </w:pPr>
      <w:r>
        <w:rPr>
          <w:rFonts w:hint="eastAsia"/>
        </w:rPr>
        <w:t>バイオマスプラスチックの活用により、環境負荷の少ない事業活動が可能です。</w:t>
      </w:r>
    </w:p>
    <w:p w14:paraId="55F28091" w14:textId="77777777" w:rsidR="002625B4" w:rsidRDefault="002625B4" w:rsidP="002625B4">
      <w:pPr>
        <w:pStyle w:val="a9"/>
        <w:numPr>
          <w:ilvl w:val="0"/>
          <w:numId w:val="4"/>
        </w:numPr>
        <w:jc w:val="left"/>
      </w:pPr>
      <w:r>
        <w:rPr>
          <w:rFonts w:hint="eastAsia"/>
        </w:rPr>
        <w:t>続ければ続けるほど新潟の魅力が伝わる</w:t>
      </w:r>
    </w:p>
    <w:p w14:paraId="0D5BBE87" w14:textId="5667787B" w:rsidR="002625B4" w:rsidRDefault="002625B4" w:rsidP="002625B4">
      <w:pPr>
        <w:pStyle w:val="a9"/>
        <w:ind w:left="800"/>
        <w:jc w:val="left"/>
        <w:rPr>
          <w:rFonts w:hint="eastAsia"/>
        </w:rPr>
      </w:pPr>
      <w:r>
        <w:rPr>
          <w:rFonts w:hint="eastAsia"/>
        </w:rPr>
        <w:t>背景に記載した地域内外から人が集まるイベントにおいて、新潟の食材を扱う店が非常に少ないことがあり、本案のキッチンカー・屋台が増えれば増えるほどイベントに訪れた人が新潟の魅力に触れる機会を増やすことができます。また、偏愛に溢れた食材を扱っているため、食べた人の共感を得る確率が高くなります。</w:t>
      </w:r>
    </w:p>
    <w:p w14:paraId="4A03A33E" w14:textId="2E5660CD" w:rsidR="00EF13D0" w:rsidRPr="00115416" w:rsidRDefault="00EF13D0" w:rsidP="00EF13D0">
      <w:pPr>
        <w:pStyle w:val="a9"/>
        <w:numPr>
          <w:ilvl w:val="0"/>
          <w:numId w:val="1"/>
        </w:numPr>
        <w:jc w:val="left"/>
        <w:rPr>
          <w:b/>
          <w:bCs/>
        </w:rPr>
      </w:pPr>
      <w:r>
        <w:rPr>
          <w:rFonts w:hint="eastAsia"/>
          <w:b/>
          <w:bCs/>
        </w:rPr>
        <w:lastRenderedPageBreak/>
        <w:t>事業目的</w:t>
      </w:r>
      <w:r>
        <w:rPr>
          <w:rFonts w:hint="eastAsia"/>
          <w:b/>
          <w:bCs/>
        </w:rPr>
        <w:t>の</w:t>
      </w:r>
      <w:r>
        <w:rPr>
          <w:rFonts w:hint="eastAsia"/>
          <w:b/>
          <w:bCs/>
        </w:rPr>
        <w:t>達成</w:t>
      </w:r>
      <w:r>
        <w:rPr>
          <w:rFonts w:hint="eastAsia"/>
          <w:b/>
          <w:bCs/>
        </w:rPr>
        <w:t>と運動で目指す理想の未来の実現について</w:t>
      </w:r>
    </w:p>
    <w:p w14:paraId="1D726E71" w14:textId="77318A73" w:rsidR="00EF13D0" w:rsidRPr="00EF13D0" w:rsidRDefault="00EF13D0" w:rsidP="00EF13D0">
      <w:pPr>
        <w:pStyle w:val="a9"/>
        <w:ind w:left="360"/>
        <w:jc w:val="left"/>
        <w:rPr>
          <w:rFonts w:hint="eastAsia"/>
        </w:rPr>
      </w:pPr>
      <w:r>
        <w:rPr>
          <w:rFonts w:hint="eastAsia"/>
        </w:rPr>
        <w:t>本案は地域が違えばそこにいる人々の偏愛も異なってくるため、地域によって違った食材を扱うことができる拡張性を持ったモデルと考えています。ブロック協議会での事業で委員会内の偏愛を掘り起こし、それを活用してキッチンカー・屋台を開発するという手法を確立し、各LOMでもそれぞれの偏愛を掘り起こして応用</w:t>
      </w:r>
      <w:r w:rsidR="002625B4">
        <w:rPr>
          <w:rFonts w:hint="eastAsia"/>
        </w:rPr>
        <w:t>する枠組みを</w:t>
      </w:r>
      <w:r>
        <w:rPr>
          <w:rFonts w:hint="eastAsia"/>
        </w:rPr>
        <w:t>提案をすることが事業目的を達成し、</w:t>
      </w:r>
      <w:r w:rsidRPr="00EF13D0">
        <w:rPr>
          <w:rFonts w:hint="eastAsia"/>
        </w:rPr>
        <w:t>運動で目指す理想の未来</w:t>
      </w:r>
      <w:r>
        <w:rPr>
          <w:rFonts w:hint="eastAsia"/>
        </w:rPr>
        <w:t>に近付くと考えています。</w:t>
      </w:r>
    </w:p>
    <w:sectPr w:rsidR="00EF13D0" w:rsidRPr="00EF13D0" w:rsidSect="009A28C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3D5591"/>
    <w:multiLevelType w:val="hybridMultilevel"/>
    <w:tmpl w:val="AD08AF58"/>
    <w:lvl w:ilvl="0" w:tplc="92A4152E">
      <w:start w:val="1"/>
      <w:numFmt w:val="decimalFullWidth"/>
      <w:lvlText w:val="%1."/>
      <w:lvlJc w:val="left"/>
      <w:pPr>
        <w:ind w:left="720" w:hanging="360"/>
      </w:pPr>
      <w:rPr>
        <w:rFonts w:hint="eastAsia"/>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 w15:restartNumberingAfterBreak="0">
    <w:nsid w:val="2A77579D"/>
    <w:multiLevelType w:val="hybridMultilevel"/>
    <w:tmpl w:val="E0FE29C2"/>
    <w:lvl w:ilvl="0" w:tplc="92A4152E">
      <w:start w:val="1"/>
      <w:numFmt w:val="decimalFullWidth"/>
      <w:lvlText w:val="%1."/>
      <w:lvlJc w:val="left"/>
      <w:pPr>
        <w:ind w:left="800" w:hanging="440"/>
      </w:pPr>
      <w:rPr>
        <w:rFonts w:hint="eastAsia"/>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 w15:restartNumberingAfterBreak="0">
    <w:nsid w:val="46713045"/>
    <w:multiLevelType w:val="hybridMultilevel"/>
    <w:tmpl w:val="E0FE29C2"/>
    <w:lvl w:ilvl="0" w:tplc="FFFFFFFF">
      <w:start w:val="1"/>
      <w:numFmt w:val="decimalFullWidth"/>
      <w:lvlText w:val="%1."/>
      <w:lvlJc w:val="left"/>
      <w:pPr>
        <w:ind w:left="800" w:hanging="440"/>
      </w:pPr>
      <w:rPr>
        <w:rFonts w:hint="eastAsia"/>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3" w15:restartNumberingAfterBreak="0">
    <w:nsid w:val="4E206845"/>
    <w:multiLevelType w:val="hybridMultilevel"/>
    <w:tmpl w:val="F14CA14C"/>
    <w:lvl w:ilvl="0" w:tplc="744C21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53733843">
    <w:abstractNumId w:val="3"/>
  </w:num>
  <w:num w:numId="2" w16cid:durableId="1732267795">
    <w:abstractNumId w:val="0"/>
  </w:num>
  <w:num w:numId="3" w16cid:durableId="1194612966">
    <w:abstractNumId w:val="1"/>
  </w:num>
  <w:num w:numId="4" w16cid:durableId="21272648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defaultTabStop w:val="840"/>
  <w:characterSpacingControl w:val="doNotCompress"/>
  <w:compat>
    <w:useFELayout/>
    <w:compatSetting w:name="compatibilityMode" w:uri="http://schemas.microsoft.com/office/word" w:val="12"/>
    <w:compatSetting w:name="useWord2013TrackBottomHyphenation" w:uri="http://schemas.microsoft.com/office/word" w:val="1"/>
  </w:compat>
  <w:rsids>
    <w:rsidRoot w:val="0037191A"/>
    <w:rsid w:val="000C2F0D"/>
    <w:rsid w:val="00115416"/>
    <w:rsid w:val="0016277E"/>
    <w:rsid w:val="002462D8"/>
    <w:rsid w:val="002625B4"/>
    <w:rsid w:val="0037191A"/>
    <w:rsid w:val="00541758"/>
    <w:rsid w:val="006533B4"/>
    <w:rsid w:val="0067669A"/>
    <w:rsid w:val="008D2315"/>
    <w:rsid w:val="009A28C1"/>
    <w:rsid w:val="00A96257"/>
    <w:rsid w:val="00D441E4"/>
    <w:rsid w:val="00D705D1"/>
    <w:rsid w:val="00D77E7B"/>
    <w:rsid w:val="00DB1707"/>
    <w:rsid w:val="00EF13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CC6AF6D"/>
  <w15:chartTrackingRefBased/>
  <w15:docId w15:val="{65E75743-B223-47AC-AA93-8EADCA60E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メイリオ" w:eastAsia="メイリオ" w:hAnsi="メイリオ" w:cstheme="minorBidi"/>
        <w:kern w:val="2"/>
        <w:sz w:val="21"/>
        <w:szCs w:val="22"/>
        <w:lang w:val="en-US" w:eastAsia="ja-JP" w:bidi="ar-SA"/>
        <w14:ligatures w14:val="standardContextual"/>
      </w:rPr>
    </w:rPrDefault>
    <w:pPrDefault>
      <w:pPr>
        <w:spacing w:line="36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7191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7191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7191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7191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7191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7191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7191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7191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7191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7191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7191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7191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7191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7191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7191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7191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7191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7191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7191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719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7191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719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7191A"/>
    <w:pPr>
      <w:spacing w:before="160" w:after="160"/>
      <w:jc w:val="center"/>
    </w:pPr>
    <w:rPr>
      <w:i/>
      <w:iCs/>
      <w:color w:val="404040" w:themeColor="text1" w:themeTint="BF"/>
    </w:rPr>
  </w:style>
  <w:style w:type="character" w:customStyle="1" w:styleId="a8">
    <w:name w:val="引用文 (文字)"/>
    <w:basedOn w:val="a0"/>
    <w:link w:val="a7"/>
    <w:uiPriority w:val="29"/>
    <w:rsid w:val="0037191A"/>
    <w:rPr>
      <w:i/>
      <w:iCs/>
      <w:color w:val="404040" w:themeColor="text1" w:themeTint="BF"/>
    </w:rPr>
  </w:style>
  <w:style w:type="paragraph" w:styleId="a9">
    <w:name w:val="List Paragraph"/>
    <w:basedOn w:val="a"/>
    <w:uiPriority w:val="34"/>
    <w:qFormat/>
    <w:rsid w:val="0037191A"/>
    <w:pPr>
      <w:ind w:left="720"/>
      <w:contextualSpacing/>
    </w:pPr>
  </w:style>
  <w:style w:type="character" w:styleId="21">
    <w:name w:val="Intense Emphasis"/>
    <w:basedOn w:val="a0"/>
    <w:uiPriority w:val="21"/>
    <w:qFormat/>
    <w:rsid w:val="0037191A"/>
    <w:rPr>
      <w:i/>
      <w:iCs/>
      <w:color w:val="2F5496" w:themeColor="accent1" w:themeShade="BF"/>
    </w:rPr>
  </w:style>
  <w:style w:type="paragraph" w:styleId="22">
    <w:name w:val="Intense Quote"/>
    <w:basedOn w:val="a"/>
    <w:next w:val="a"/>
    <w:link w:val="23"/>
    <w:uiPriority w:val="30"/>
    <w:qFormat/>
    <w:rsid w:val="003719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37191A"/>
    <w:rPr>
      <w:i/>
      <w:iCs/>
      <w:color w:val="2F5496" w:themeColor="accent1" w:themeShade="BF"/>
    </w:rPr>
  </w:style>
  <w:style w:type="character" w:styleId="24">
    <w:name w:val="Intense Reference"/>
    <w:basedOn w:val="a0"/>
    <w:uiPriority w:val="32"/>
    <w:qFormat/>
    <w:rsid w:val="0037191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554</TotalTime>
  <Pages>2</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孝輔</dc:creator>
  <cp:keywords/>
  <dc:description/>
  <cp:lastModifiedBy>孝輔</cp:lastModifiedBy>
  <cp:revision>1</cp:revision>
  <dcterms:created xsi:type="dcterms:W3CDTF">2025-06-30T03:19:00Z</dcterms:created>
  <dcterms:modified xsi:type="dcterms:W3CDTF">2025-06-30T12:33:00Z</dcterms:modified>
</cp:coreProperties>
</file>